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417"/>
      </w:tblGrid>
      <w:tr w:rsidR="008E66FA" w:rsidTr="00095FFA">
        <w:trPr>
          <w:tblCellSpacing w:w="0" w:type="dxa"/>
        </w:trPr>
        <w:tc>
          <w:tcPr>
            <w:tcW w:w="5103" w:type="dxa"/>
          </w:tcPr>
          <w:p w:rsidR="008E66FA" w:rsidRPr="009149D2" w:rsidRDefault="008E66FA" w:rsidP="00095FFA">
            <w:pPr>
              <w:spacing w:before="100" w:beforeAutospacing="1" w:after="240" w:line="252" w:lineRule="auto"/>
              <w:rPr>
                <w:rFonts w:ascii="Arial" w:hAnsi="Arial" w:cs="Arial"/>
                <w:b/>
                <w:bCs/>
                <w:sz w:val="44"/>
                <w:szCs w:val="44"/>
                <w:lang w:val="en-GB" w:eastAsia="en-GB"/>
              </w:rPr>
            </w:pPr>
            <w:r w:rsidRPr="009149D2">
              <w:rPr>
                <w:rFonts w:ascii="Arial" w:hAnsi="Arial" w:cs="Arial"/>
                <w:b/>
                <w:bCs/>
                <w:sz w:val="44"/>
                <w:szCs w:val="44"/>
                <w:lang w:val="en-GB"/>
              </w:rPr>
              <w:t xml:space="preserve">Hon </w:t>
            </w:r>
            <w:r w:rsidR="001B14BC">
              <w:rPr>
                <w:rFonts w:ascii="Arial" w:hAnsi="Arial" w:cs="Arial"/>
                <w:b/>
                <w:bCs/>
                <w:sz w:val="44"/>
                <w:szCs w:val="44"/>
                <w:lang w:val="en-GB"/>
              </w:rPr>
              <w:t>Tracey Martin</w:t>
            </w:r>
          </w:p>
          <w:p w:rsidR="00BD4DBA" w:rsidRDefault="008E66FA" w:rsidP="00BD4DB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A50021"/>
              </w:rPr>
            </w:pPr>
            <w:r w:rsidRPr="00BD4DBA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Minister</w:t>
            </w:r>
            <w:r w:rsidR="00BD4DBA" w:rsidRPr="00BD4DBA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for Children</w:t>
            </w:r>
            <w:r w:rsidR="00592F78" w:rsidRPr="00BD4DBA">
              <w:rPr>
                <w:rFonts w:ascii="Arial" w:hAnsi="Arial" w:cs="Arial"/>
                <w:b/>
                <w:bCs/>
                <w:sz w:val="32"/>
                <w:szCs w:val="32"/>
                <w:lang w:val="en-GB" w:eastAsia="en-GB"/>
              </w:rPr>
              <w:br/>
            </w:r>
            <w:r w:rsidRPr="00BD4DBA">
              <w:rPr>
                <w:rFonts w:ascii="Arial" w:hAnsi="Arial" w:cs="Arial"/>
                <w:b/>
                <w:bCs/>
                <w:sz w:val="32"/>
                <w:szCs w:val="32"/>
                <w:lang w:val="en-GB" w:eastAsia="en-GB"/>
              </w:rPr>
              <w:br/>
            </w:r>
            <w:r w:rsidR="00BD4DBA" w:rsidRPr="00BD4DBA">
              <w:rPr>
                <w:rFonts w:ascii="Arial" w:hAnsi="Arial" w:cs="Arial"/>
                <w:b/>
                <w:bCs/>
                <w:color w:val="A50021"/>
                <w:sz w:val="44"/>
                <w:szCs w:val="44"/>
                <w:lang w:val="en-GB"/>
              </w:rPr>
              <w:t xml:space="preserve">Hon </w:t>
            </w:r>
            <w:proofErr w:type="spellStart"/>
            <w:r w:rsidR="00BD4DBA" w:rsidRPr="00BD4DBA">
              <w:rPr>
                <w:rFonts w:ascii="Arial" w:hAnsi="Arial" w:cs="Arial"/>
                <w:b/>
                <w:bCs/>
                <w:color w:val="A50021"/>
                <w:sz w:val="44"/>
                <w:szCs w:val="44"/>
                <w:lang w:val="en-GB"/>
              </w:rPr>
              <w:t>Peeni</w:t>
            </w:r>
            <w:proofErr w:type="spellEnd"/>
            <w:r w:rsidR="00BD4DBA" w:rsidRPr="00BD4DBA">
              <w:rPr>
                <w:rFonts w:ascii="Arial" w:hAnsi="Arial" w:cs="Arial"/>
                <w:b/>
                <w:bCs/>
                <w:color w:val="A50021"/>
                <w:sz w:val="44"/>
                <w:szCs w:val="44"/>
                <w:lang w:val="en-GB"/>
              </w:rPr>
              <w:t xml:space="preserve"> Henare</w:t>
            </w:r>
            <w:r w:rsidR="00BD4DBA">
              <w:rPr>
                <w:rFonts w:ascii="Arial" w:hAnsi="Arial" w:cs="Arial"/>
                <w:b/>
                <w:bCs/>
                <w:color w:val="A50021"/>
                <w:sz w:val="48"/>
                <w:szCs w:val="48"/>
                <w:lang w:val="en-GB"/>
              </w:rPr>
              <w:t xml:space="preserve"> </w:t>
            </w:r>
            <w:bookmarkStart w:id="0" w:name="_GoBack"/>
            <w:bookmarkEnd w:id="0"/>
          </w:p>
          <w:p w:rsidR="00BD4DBA" w:rsidRDefault="00BD4DBA" w:rsidP="00BD4DBA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color w:val="A5002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A50021"/>
                <w:sz w:val="28"/>
                <w:szCs w:val="28"/>
                <w:lang w:val="en-GB"/>
              </w:rPr>
              <w:t>Minister for Whānau Ora</w:t>
            </w:r>
            <w:r>
              <w:rPr>
                <w:rFonts w:ascii="Arial" w:hAnsi="Arial" w:cs="Arial"/>
                <w:b/>
                <w:bCs/>
                <w:color w:val="1F497D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50021"/>
                <w:sz w:val="28"/>
                <w:szCs w:val="28"/>
                <w:lang w:val="en-GB"/>
              </w:rPr>
              <w:t> </w:t>
            </w:r>
          </w:p>
          <w:p w:rsidR="00BD4DBA" w:rsidRPr="00BD4DBA" w:rsidRDefault="00BD4DBA" w:rsidP="00BD4DB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A50021"/>
                <w:sz w:val="44"/>
                <w:szCs w:val="44"/>
              </w:rPr>
            </w:pPr>
            <w:r w:rsidRPr="00BD4DBA">
              <w:rPr>
                <w:rFonts w:ascii="Arial" w:hAnsi="Arial" w:cs="Arial"/>
                <w:b/>
                <w:bCs/>
                <w:color w:val="A50021"/>
                <w:sz w:val="44"/>
                <w:szCs w:val="44"/>
                <w:lang w:val="en-GB"/>
              </w:rPr>
              <w:t xml:space="preserve">Hon </w:t>
            </w:r>
            <w:r>
              <w:rPr>
                <w:rFonts w:ascii="Arial" w:hAnsi="Arial" w:cs="Arial"/>
                <w:b/>
                <w:bCs/>
                <w:color w:val="A50021"/>
                <w:sz w:val="44"/>
                <w:szCs w:val="44"/>
                <w:lang w:val="en-GB"/>
              </w:rPr>
              <w:t>Willie Jackson</w:t>
            </w:r>
            <w:r w:rsidRPr="00BD4DBA">
              <w:rPr>
                <w:rFonts w:ascii="Arial" w:hAnsi="Arial" w:cs="Arial"/>
                <w:b/>
                <w:bCs/>
                <w:color w:val="A50021"/>
                <w:sz w:val="44"/>
                <w:szCs w:val="44"/>
                <w:lang w:val="en-GB"/>
              </w:rPr>
              <w:t xml:space="preserve"> </w:t>
            </w:r>
          </w:p>
          <w:p w:rsidR="00BD4DBA" w:rsidRDefault="00BD4DBA" w:rsidP="00BD4DBA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color w:val="A5002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A50021"/>
                <w:sz w:val="28"/>
                <w:szCs w:val="28"/>
                <w:lang w:val="en-GB"/>
              </w:rPr>
              <w:t>Associate Minister for ACC</w:t>
            </w:r>
            <w:r>
              <w:rPr>
                <w:rFonts w:ascii="Arial" w:hAnsi="Arial" w:cs="Arial"/>
                <w:b/>
                <w:bCs/>
                <w:color w:val="1F497D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50021"/>
                <w:sz w:val="28"/>
                <w:szCs w:val="28"/>
                <w:lang w:val="en-GB"/>
              </w:rPr>
              <w:t> </w:t>
            </w:r>
          </w:p>
          <w:p w:rsidR="008D260F" w:rsidRPr="00BD4DBA" w:rsidRDefault="008D260F" w:rsidP="008D260F">
            <w:pPr>
              <w:spacing w:before="100" w:beforeAutospacing="1" w:after="100" w:afterAutospacing="1" w:line="252" w:lineRule="auto"/>
              <w:rPr>
                <w:rFonts w:ascii="Arial" w:hAnsi="Arial" w:cs="Arial"/>
                <w:b/>
                <w:bCs/>
                <w:sz w:val="32"/>
                <w:szCs w:val="32"/>
                <w:lang w:val="en-GB" w:eastAsia="en-GB"/>
              </w:rPr>
            </w:pPr>
          </w:p>
          <w:p w:rsidR="008E66FA" w:rsidRPr="009149D2" w:rsidRDefault="008E66FA" w:rsidP="008D260F">
            <w:pPr>
              <w:spacing w:before="100" w:beforeAutospacing="1" w:after="100" w:afterAutospacing="1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417" w:type="dxa"/>
            <w:hideMark/>
          </w:tcPr>
          <w:p w:rsidR="008E66FA" w:rsidRDefault="008E66FA" w:rsidP="00095FFA">
            <w:pPr>
              <w:spacing w:before="100" w:beforeAutospacing="1" w:after="100" w:afterAutospacing="1" w:line="252" w:lineRule="auto"/>
              <w:jc w:val="right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n-NZ"/>
              </w:rPr>
              <w:drawing>
                <wp:inline distT="0" distB="0" distL="0" distR="0" wp14:anchorId="0C75AD80" wp14:editId="198DCA1D">
                  <wp:extent cx="1189494" cy="1095857"/>
                  <wp:effectExtent l="0" t="0" r="0" b="9525"/>
                  <wp:docPr id="4" name="Picture 4" descr="cid:image001.jpg@01D4178E.2C591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4178E.2C591E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756" cy="114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6FA" w:rsidRPr="00E12061" w:rsidTr="00095FFA">
        <w:trPr>
          <w:trHeight w:val="783"/>
          <w:tblCellSpacing w:w="0" w:type="dxa"/>
        </w:trPr>
        <w:tc>
          <w:tcPr>
            <w:tcW w:w="5103" w:type="dxa"/>
            <w:hideMark/>
          </w:tcPr>
          <w:p w:rsidR="00B905C0" w:rsidRDefault="00BD4DBA" w:rsidP="007F104D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FA3A62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 w:rsidR="000F5A46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:rsidR="008E66FA" w:rsidRPr="00B905C0" w:rsidRDefault="00B905C0" w:rsidP="007F104D">
            <w:pPr>
              <w:spacing w:line="252" w:lineRule="auto"/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</w:pPr>
            <w:r w:rsidRPr="00B905C0">
              <w:rPr>
                <w:rFonts w:ascii="Arial" w:hAnsi="Arial" w:cs="Arial"/>
                <w:b/>
                <w:sz w:val="24"/>
                <w:szCs w:val="24"/>
                <w:u w:val="single"/>
              </w:rPr>
              <w:t>Embargoed until 1pm</w:t>
            </w:r>
            <w:r w:rsidR="00837425" w:rsidRPr="00B905C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8E66FA" w:rsidRPr="00B905C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417" w:type="dxa"/>
            <w:hideMark/>
          </w:tcPr>
          <w:p w:rsidR="008E66FA" w:rsidRPr="00E12061" w:rsidRDefault="008E66FA" w:rsidP="00095FFA">
            <w:pPr>
              <w:spacing w:after="280" w:line="252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A16A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  </w:t>
            </w:r>
            <w:r w:rsidRPr="005C705E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PĀNUI PĀPĀHO</w:t>
            </w:r>
            <w:r w:rsidRPr="002A16A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</w:r>
            <w:r w:rsidRPr="002A16A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MEDIA STATEMENT</w:t>
            </w:r>
            <w:r w:rsidRPr="00E12061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E66FA" w:rsidTr="00095FFA">
        <w:trPr>
          <w:trHeight w:val="1560"/>
          <w:tblCellSpacing w:w="0" w:type="dxa"/>
        </w:trPr>
        <w:tc>
          <w:tcPr>
            <w:tcW w:w="8520" w:type="dxa"/>
            <w:gridSpan w:val="2"/>
          </w:tcPr>
          <w:p w:rsidR="009C5F46" w:rsidRPr="009C5F46" w:rsidRDefault="009F532F" w:rsidP="009C5F46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Early help</w:t>
            </w:r>
            <w:r w:rsidR="00BD4DBA">
              <w:rPr>
                <w:rFonts w:ascii="Arial" w:hAnsi="Arial" w:cs="Arial"/>
                <w:b/>
                <w:sz w:val="36"/>
                <w:szCs w:val="36"/>
              </w:rPr>
              <w:t xml:space="preserve"> for </w:t>
            </w:r>
            <w:r w:rsidRPr="009F532F">
              <w:rPr>
                <w:rFonts w:ascii="Arial" w:hAnsi="Arial" w:cs="Arial"/>
                <w:b/>
                <w:sz w:val="36"/>
                <w:szCs w:val="36"/>
              </w:rPr>
              <w:t>whānau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who need extra support </w:t>
            </w:r>
          </w:p>
          <w:p w:rsidR="007F104D" w:rsidRPr="00C904FD" w:rsidRDefault="007F104D" w:rsidP="00C904FD">
            <w:pPr>
              <w:jc w:val="both"/>
              <w:rPr>
                <w:rFonts w:ascii="Arial" w:hAnsi="Arial" w:cs="Arial"/>
              </w:rPr>
            </w:pPr>
          </w:p>
          <w:p w:rsidR="00EC5D81" w:rsidRDefault="00EC5D81" w:rsidP="009F532F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Government is investing in a new, </w:t>
            </w:r>
            <w:r w:rsidRPr="009F532F">
              <w:rPr>
                <w:rFonts w:ascii="Arial" w:hAnsi="Arial" w:cs="Arial"/>
              </w:rPr>
              <w:t>whānau-centred early intervention prototype</w:t>
            </w:r>
            <w:r>
              <w:rPr>
                <w:rFonts w:ascii="Arial" w:hAnsi="Arial" w:cs="Arial"/>
              </w:rPr>
              <w:t xml:space="preserve"> designed to strengthen families and improve the safety and wellbeing of children.</w:t>
            </w:r>
          </w:p>
          <w:p w:rsidR="00EC5D81" w:rsidRDefault="00EC5D81" w:rsidP="009F532F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new programme, </w:t>
            </w:r>
            <w:proofErr w:type="spellStart"/>
            <w:r w:rsidRPr="009F532F">
              <w:rPr>
                <w:rFonts w:ascii="Arial" w:hAnsi="Arial" w:cs="Arial"/>
                <w:i/>
                <w:iCs/>
              </w:rPr>
              <w:t>Ngā</w:t>
            </w:r>
            <w:proofErr w:type="spellEnd"/>
            <w:r w:rsidRPr="009F532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F532F">
              <w:rPr>
                <w:rFonts w:ascii="Arial" w:hAnsi="Arial" w:cs="Arial"/>
                <w:i/>
                <w:iCs/>
              </w:rPr>
              <w:t>Tini</w:t>
            </w:r>
            <w:proofErr w:type="spellEnd"/>
            <w:r w:rsidRPr="009F532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F532F">
              <w:rPr>
                <w:rFonts w:ascii="Arial" w:hAnsi="Arial" w:cs="Arial"/>
                <w:i/>
                <w:iCs/>
              </w:rPr>
              <w:t>Whetū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</w:rPr>
              <w:t xml:space="preserve">is a collaboration between </w:t>
            </w:r>
            <w:r w:rsidRPr="009F532F">
              <w:rPr>
                <w:rFonts w:ascii="Arial" w:hAnsi="Arial" w:cs="Arial"/>
              </w:rPr>
              <w:t xml:space="preserve">Oranga Tamariki, Te </w:t>
            </w:r>
            <w:proofErr w:type="spellStart"/>
            <w:r w:rsidRPr="009F532F">
              <w:rPr>
                <w:rFonts w:ascii="Arial" w:hAnsi="Arial" w:cs="Arial"/>
              </w:rPr>
              <w:t>Puni</w:t>
            </w:r>
            <w:proofErr w:type="spellEnd"/>
            <w:r w:rsidRPr="009F532F">
              <w:rPr>
                <w:rFonts w:ascii="Arial" w:hAnsi="Arial" w:cs="Arial"/>
              </w:rPr>
              <w:t xml:space="preserve"> </w:t>
            </w:r>
            <w:proofErr w:type="spellStart"/>
            <w:r w:rsidRPr="009F532F">
              <w:rPr>
                <w:rFonts w:ascii="Arial" w:hAnsi="Arial" w:cs="Arial"/>
              </w:rPr>
              <w:t>Kōkiri</w:t>
            </w:r>
            <w:proofErr w:type="spellEnd"/>
            <w:r w:rsidRPr="009F532F">
              <w:rPr>
                <w:rFonts w:ascii="Arial" w:hAnsi="Arial" w:cs="Arial"/>
              </w:rPr>
              <w:t>, ACC and the Whānau Ora Commissioning Agency</w:t>
            </w:r>
            <w:r>
              <w:rPr>
                <w:rFonts w:ascii="Arial" w:hAnsi="Arial" w:cs="Arial"/>
              </w:rPr>
              <w:t xml:space="preserve"> and was announced today by Children’s Minister Tracey Martin, </w:t>
            </w:r>
            <w:r w:rsidRPr="009F532F">
              <w:rPr>
                <w:rFonts w:ascii="Arial" w:hAnsi="Arial" w:cs="Arial"/>
              </w:rPr>
              <w:t>Whānau Ora</w:t>
            </w:r>
            <w:r>
              <w:rPr>
                <w:rFonts w:ascii="Arial" w:hAnsi="Arial" w:cs="Arial"/>
              </w:rPr>
              <w:t xml:space="preserve"> Minister </w:t>
            </w:r>
            <w:proofErr w:type="spellStart"/>
            <w:r>
              <w:rPr>
                <w:rFonts w:ascii="Arial" w:hAnsi="Arial" w:cs="Arial"/>
              </w:rPr>
              <w:t>Peeni</w:t>
            </w:r>
            <w:proofErr w:type="spellEnd"/>
            <w:r>
              <w:rPr>
                <w:rFonts w:ascii="Arial" w:hAnsi="Arial" w:cs="Arial"/>
              </w:rPr>
              <w:t xml:space="preserve"> Henare and Associate ACC Minister Willie Jackson.</w:t>
            </w:r>
          </w:p>
          <w:p w:rsidR="00BD4DBA" w:rsidRPr="009F532F" w:rsidRDefault="00EC5D81" w:rsidP="009F532F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will </w:t>
            </w:r>
            <w:r w:rsidR="00BD4DBA" w:rsidRPr="009F532F">
              <w:rPr>
                <w:rFonts w:ascii="Arial" w:hAnsi="Arial" w:cs="Arial"/>
              </w:rPr>
              <w:t xml:space="preserve">see additional early support offered to </w:t>
            </w:r>
            <w:r w:rsidR="004258F2">
              <w:rPr>
                <w:rFonts w:ascii="Arial" w:hAnsi="Arial" w:cs="Arial"/>
              </w:rPr>
              <w:t xml:space="preserve">around </w:t>
            </w:r>
            <w:r w:rsidR="00BD4DBA" w:rsidRPr="009F532F">
              <w:rPr>
                <w:rFonts w:ascii="Arial" w:hAnsi="Arial" w:cs="Arial"/>
              </w:rPr>
              <w:t xml:space="preserve">800 whānau across the North Island, to lift child and whānau wellbeing and resilience. </w:t>
            </w:r>
          </w:p>
          <w:p w:rsidR="00CE4464" w:rsidRDefault="00EC5D81" w:rsidP="009F532F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“Our </w:t>
            </w:r>
            <w:r w:rsidR="00BD4DBA" w:rsidRPr="009F532F">
              <w:rPr>
                <w:rFonts w:ascii="Arial" w:hAnsi="Arial" w:cs="Arial"/>
              </w:rPr>
              <w:t>current system</w:t>
            </w:r>
            <w:r>
              <w:rPr>
                <w:rFonts w:ascii="Arial" w:hAnsi="Arial" w:cs="Arial"/>
              </w:rPr>
              <w:t>s</w:t>
            </w:r>
            <w:r w:rsidR="00BD4DBA" w:rsidRPr="009F532F">
              <w:rPr>
                <w:rFonts w:ascii="Arial" w:hAnsi="Arial" w:cs="Arial"/>
              </w:rPr>
              <w:t xml:space="preserve"> of support </w:t>
            </w:r>
            <w:r>
              <w:rPr>
                <w:rFonts w:ascii="Arial" w:hAnsi="Arial" w:cs="Arial"/>
              </w:rPr>
              <w:t>too often see</w:t>
            </w:r>
            <w:r w:rsidR="00BD4DBA" w:rsidRPr="009F532F">
              <w:rPr>
                <w:rFonts w:ascii="Arial" w:hAnsi="Arial" w:cs="Arial"/>
              </w:rPr>
              <w:t xml:space="preserve"> resources </w:t>
            </w:r>
            <w:r>
              <w:rPr>
                <w:rFonts w:ascii="Arial" w:hAnsi="Arial" w:cs="Arial"/>
              </w:rPr>
              <w:t xml:space="preserve">going </w:t>
            </w:r>
            <w:r w:rsidR="00BD4DBA" w:rsidRPr="009F532F">
              <w:rPr>
                <w:rFonts w:ascii="Arial" w:hAnsi="Arial" w:cs="Arial"/>
              </w:rPr>
              <w:t xml:space="preserve">to families after </w:t>
            </w:r>
            <w:r>
              <w:rPr>
                <w:rFonts w:ascii="Arial" w:hAnsi="Arial" w:cs="Arial"/>
              </w:rPr>
              <w:t xml:space="preserve">they are in trouble and an </w:t>
            </w:r>
            <w:r w:rsidR="00BD4DBA" w:rsidRPr="009F532F">
              <w:rPr>
                <w:rFonts w:ascii="Arial" w:hAnsi="Arial" w:cs="Arial"/>
              </w:rPr>
              <w:t>incident has happened</w:t>
            </w:r>
            <w:r>
              <w:rPr>
                <w:rFonts w:ascii="Arial" w:hAnsi="Arial" w:cs="Arial"/>
              </w:rPr>
              <w:t xml:space="preserve">,” Minister Martin says. </w:t>
            </w:r>
            <w:r w:rsidR="00CE4464">
              <w:rPr>
                <w:rFonts w:ascii="Arial" w:hAnsi="Arial" w:cs="Arial"/>
              </w:rPr>
              <w:t>“</w:t>
            </w:r>
            <w:r w:rsidR="00BD4DBA" w:rsidRPr="009F532F">
              <w:rPr>
                <w:rFonts w:ascii="Arial" w:hAnsi="Arial" w:cs="Arial"/>
              </w:rPr>
              <w:t xml:space="preserve">This initiative is designed to get </w:t>
            </w:r>
            <w:r w:rsidR="00CE4464">
              <w:rPr>
                <w:rFonts w:ascii="Arial" w:hAnsi="Arial" w:cs="Arial"/>
              </w:rPr>
              <w:t xml:space="preserve">the right help </w:t>
            </w:r>
            <w:r w:rsidR="00BD4DBA" w:rsidRPr="009F532F">
              <w:rPr>
                <w:rFonts w:ascii="Arial" w:hAnsi="Arial" w:cs="Arial"/>
              </w:rPr>
              <w:t>to whānau before there’s a crisis.</w:t>
            </w:r>
          </w:p>
          <w:p w:rsidR="00CE4464" w:rsidRDefault="00CE4464" w:rsidP="009F532F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“If we want to reduce the stress on families and help them to care for their children, then this is the type of </w:t>
            </w:r>
            <w:r w:rsidR="004B5A72">
              <w:rPr>
                <w:rFonts w:ascii="Arial" w:hAnsi="Arial" w:cs="Arial"/>
              </w:rPr>
              <w:t>shift</w:t>
            </w:r>
            <w:r>
              <w:rPr>
                <w:rFonts w:ascii="Arial" w:hAnsi="Arial" w:cs="Arial"/>
              </w:rPr>
              <w:t xml:space="preserve"> we need.”</w:t>
            </w:r>
          </w:p>
          <w:p w:rsidR="00CE4464" w:rsidRPr="00C10C58" w:rsidRDefault="00C10C58" w:rsidP="009F532F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proofErr w:type="spellStart"/>
            <w:r w:rsidRPr="009F532F">
              <w:rPr>
                <w:rFonts w:ascii="Arial" w:hAnsi="Arial" w:cs="Arial"/>
                <w:i/>
                <w:iCs/>
              </w:rPr>
              <w:t>Ngā</w:t>
            </w:r>
            <w:proofErr w:type="spellEnd"/>
            <w:r w:rsidRPr="009F532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F532F">
              <w:rPr>
                <w:rFonts w:ascii="Arial" w:hAnsi="Arial" w:cs="Arial"/>
                <w:i/>
                <w:iCs/>
              </w:rPr>
              <w:t>Tini</w:t>
            </w:r>
            <w:proofErr w:type="spellEnd"/>
            <w:r w:rsidRPr="009F532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F532F">
              <w:rPr>
                <w:rFonts w:ascii="Arial" w:hAnsi="Arial" w:cs="Arial"/>
                <w:i/>
                <w:iCs/>
              </w:rPr>
              <w:t>Whetū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involves a combined $42.4 million over </w:t>
            </w:r>
            <w:r w:rsidR="002A3B9C">
              <w:rPr>
                <w:rFonts w:ascii="Arial" w:hAnsi="Arial" w:cs="Arial"/>
                <w:iCs/>
              </w:rPr>
              <w:t>two</w:t>
            </w:r>
            <w:r>
              <w:rPr>
                <w:rFonts w:ascii="Arial" w:hAnsi="Arial" w:cs="Arial"/>
                <w:iCs/>
              </w:rPr>
              <w:t xml:space="preserve"> years from the three government agencies, with Oranga Tamariki and ACC transferring money to </w:t>
            </w:r>
            <w:r w:rsidRPr="009F532F">
              <w:rPr>
                <w:rFonts w:ascii="Arial" w:hAnsi="Arial" w:cs="Arial"/>
              </w:rPr>
              <w:t xml:space="preserve">Te </w:t>
            </w:r>
            <w:proofErr w:type="spellStart"/>
            <w:r w:rsidRPr="009F532F">
              <w:rPr>
                <w:rFonts w:ascii="Arial" w:hAnsi="Arial" w:cs="Arial"/>
              </w:rPr>
              <w:t>Puni</w:t>
            </w:r>
            <w:proofErr w:type="spellEnd"/>
            <w:r w:rsidRPr="009F532F">
              <w:rPr>
                <w:rFonts w:ascii="Arial" w:hAnsi="Arial" w:cs="Arial"/>
              </w:rPr>
              <w:t xml:space="preserve"> </w:t>
            </w:r>
            <w:proofErr w:type="spellStart"/>
            <w:r w:rsidRPr="009F532F">
              <w:rPr>
                <w:rFonts w:ascii="Arial" w:hAnsi="Arial" w:cs="Arial"/>
              </w:rPr>
              <w:t>Kōkiri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r w:rsidR="00B905C0">
              <w:rPr>
                <w:rFonts w:ascii="Arial" w:hAnsi="Arial" w:cs="Arial"/>
              </w:rPr>
              <w:t xml:space="preserve">invest in </w:t>
            </w:r>
            <w:r>
              <w:rPr>
                <w:rFonts w:ascii="Arial" w:hAnsi="Arial" w:cs="Arial"/>
              </w:rPr>
              <w:t>services from the Commissioning Agency.</w:t>
            </w:r>
            <w:r w:rsidR="0055317B">
              <w:rPr>
                <w:rFonts w:ascii="Arial" w:hAnsi="Arial" w:cs="Arial"/>
              </w:rPr>
              <w:t xml:space="preserve"> It is anticipated that the first families will start to receive the new service from January 2021.</w:t>
            </w:r>
          </w:p>
          <w:p w:rsidR="004258F2" w:rsidRDefault="00C10C58" w:rsidP="00882876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BD4DBA" w:rsidRPr="009F532F">
              <w:rPr>
                <w:rFonts w:ascii="Arial" w:hAnsi="Arial" w:cs="Arial"/>
              </w:rPr>
              <w:t>Th</w:t>
            </w:r>
            <w:r w:rsidR="004258F2">
              <w:rPr>
                <w:rFonts w:ascii="Arial" w:hAnsi="Arial" w:cs="Arial"/>
              </w:rPr>
              <w:t>e</w:t>
            </w:r>
            <w:r w:rsidR="00BD4DBA" w:rsidRPr="009F532F">
              <w:rPr>
                <w:rFonts w:ascii="Arial" w:hAnsi="Arial" w:cs="Arial"/>
              </w:rPr>
              <w:t xml:space="preserve"> initiative aligns with the findings of the Whānau Ora Review Report 2018 – </w:t>
            </w:r>
            <w:proofErr w:type="spellStart"/>
            <w:r w:rsidR="00BD4DBA" w:rsidRPr="009F532F">
              <w:rPr>
                <w:rFonts w:ascii="Arial" w:hAnsi="Arial" w:cs="Arial"/>
              </w:rPr>
              <w:t>Tipu</w:t>
            </w:r>
            <w:proofErr w:type="spellEnd"/>
            <w:r w:rsidR="00BD4DBA" w:rsidRPr="009F532F">
              <w:rPr>
                <w:rFonts w:ascii="Arial" w:hAnsi="Arial" w:cs="Arial"/>
              </w:rPr>
              <w:t xml:space="preserve"> </w:t>
            </w:r>
            <w:proofErr w:type="spellStart"/>
            <w:r w:rsidR="00BD4DBA" w:rsidRPr="009F532F">
              <w:rPr>
                <w:rFonts w:ascii="Arial" w:hAnsi="Arial" w:cs="Arial"/>
              </w:rPr>
              <w:t>Mātoro</w:t>
            </w:r>
            <w:proofErr w:type="spellEnd"/>
            <w:r w:rsidR="00BD4DBA" w:rsidRPr="009F532F">
              <w:rPr>
                <w:rFonts w:ascii="Arial" w:hAnsi="Arial" w:cs="Arial"/>
              </w:rPr>
              <w:t xml:space="preserve"> </w:t>
            </w:r>
            <w:proofErr w:type="spellStart"/>
            <w:r w:rsidR="00BD4DBA" w:rsidRPr="009F532F">
              <w:rPr>
                <w:rFonts w:ascii="Arial" w:hAnsi="Arial" w:cs="Arial"/>
              </w:rPr>
              <w:t>ki</w:t>
            </w:r>
            <w:proofErr w:type="spellEnd"/>
            <w:r w:rsidR="00BD4DBA" w:rsidRPr="009F532F">
              <w:rPr>
                <w:rFonts w:ascii="Arial" w:hAnsi="Arial" w:cs="Arial"/>
              </w:rPr>
              <w:t xml:space="preserve"> </w:t>
            </w:r>
            <w:proofErr w:type="spellStart"/>
            <w:r w:rsidR="00BD4DBA" w:rsidRPr="009F532F">
              <w:rPr>
                <w:rFonts w:ascii="Arial" w:hAnsi="Arial" w:cs="Arial"/>
              </w:rPr>
              <w:t>te</w:t>
            </w:r>
            <w:proofErr w:type="spellEnd"/>
            <w:r w:rsidR="00BD4DBA" w:rsidRPr="009F532F">
              <w:rPr>
                <w:rFonts w:ascii="Arial" w:hAnsi="Arial" w:cs="Arial"/>
              </w:rPr>
              <w:t xml:space="preserve"> </w:t>
            </w:r>
            <w:proofErr w:type="spellStart"/>
            <w:r w:rsidR="00BD4DBA" w:rsidRPr="009F532F">
              <w:rPr>
                <w:rFonts w:ascii="Arial" w:hAnsi="Arial" w:cs="Arial"/>
              </w:rPr>
              <w:t>Ao</w:t>
            </w:r>
            <w:proofErr w:type="spellEnd"/>
            <w:r w:rsidR="00BD4DBA" w:rsidRPr="009F532F">
              <w:rPr>
                <w:rFonts w:ascii="Arial" w:hAnsi="Arial" w:cs="Arial"/>
              </w:rPr>
              <w:t xml:space="preserve"> 2018, and demonstrates a new way of working together under the direction and principles of the Child and Youth Wellbeing Strategy </w:t>
            </w:r>
            <w:r w:rsidR="004258F2">
              <w:rPr>
                <w:rFonts w:ascii="Arial" w:hAnsi="Arial" w:cs="Arial"/>
              </w:rPr>
              <w:t>to</w:t>
            </w:r>
            <w:r w:rsidR="00BD4DBA" w:rsidRPr="009F532F">
              <w:rPr>
                <w:rFonts w:ascii="Arial" w:hAnsi="Arial" w:cs="Arial"/>
              </w:rPr>
              <w:t xml:space="preserve"> shift towards early, whānau-centred support and collective action</w:t>
            </w:r>
            <w:r w:rsidR="004258F2">
              <w:rPr>
                <w:rFonts w:ascii="Arial" w:hAnsi="Arial" w:cs="Arial"/>
              </w:rPr>
              <w:t xml:space="preserve">. </w:t>
            </w:r>
          </w:p>
          <w:p w:rsidR="004258F2" w:rsidRDefault="004258F2" w:rsidP="00882876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4B5A72">
              <w:rPr>
                <w:rFonts w:ascii="Arial" w:hAnsi="Arial" w:cs="Arial"/>
              </w:rPr>
              <w:lastRenderedPageBreak/>
              <w:t>“If we build the capability and resilience of whānau they can take control of their lives and make the changes they need to,</w:t>
            </w:r>
            <w:r>
              <w:rPr>
                <w:rFonts w:ascii="Arial" w:hAnsi="Arial" w:cs="Arial"/>
              </w:rPr>
              <w:t>”</w:t>
            </w:r>
            <w:r w:rsidRPr="004B5A72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inister</w:t>
            </w:r>
            <w:r w:rsidRPr="004B5A72">
              <w:rPr>
                <w:rFonts w:ascii="Arial" w:hAnsi="Arial" w:cs="Arial"/>
              </w:rPr>
              <w:t xml:space="preserve"> Henare says</w:t>
            </w:r>
            <w:r>
              <w:rPr>
                <w:rFonts w:ascii="Arial" w:hAnsi="Arial" w:cs="Arial"/>
              </w:rPr>
              <w:t>.</w:t>
            </w:r>
          </w:p>
          <w:p w:rsidR="00882876" w:rsidRDefault="004258F2" w:rsidP="00882876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BD4DBA" w:rsidRPr="009F532F">
              <w:rPr>
                <w:rFonts w:ascii="Arial" w:hAnsi="Arial" w:cs="Arial"/>
              </w:rPr>
              <w:t>uild</w:t>
            </w:r>
            <w:r>
              <w:rPr>
                <w:rFonts w:ascii="Arial" w:hAnsi="Arial" w:cs="Arial"/>
              </w:rPr>
              <w:t>ing</w:t>
            </w:r>
            <w:r w:rsidR="00BD4DBA" w:rsidRPr="009F532F">
              <w:rPr>
                <w:rFonts w:ascii="Arial" w:hAnsi="Arial" w:cs="Arial"/>
              </w:rPr>
              <w:t xml:space="preserve"> stronger partnerships between agencies and providers in communities</w:t>
            </w:r>
            <w:r>
              <w:rPr>
                <w:rFonts w:ascii="Arial" w:hAnsi="Arial" w:cs="Arial"/>
              </w:rPr>
              <w:t xml:space="preserve"> should</w:t>
            </w:r>
            <w:r w:rsidR="00882876" w:rsidRPr="009F53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enable to </w:t>
            </w:r>
            <w:r w:rsidR="00882876" w:rsidRPr="009F532F">
              <w:rPr>
                <w:rFonts w:ascii="Arial" w:hAnsi="Arial" w:cs="Arial"/>
              </w:rPr>
              <w:t xml:space="preserve">whānau </w:t>
            </w:r>
            <w:r>
              <w:rPr>
                <w:rFonts w:ascii="Arial" w:hAnsi="Arial" w:cs="Arial"/>
              </w:rPr>
              <w:t>to receive</w:t>
            </w:r>
            <w:r w:rsidR="00882876" w:rsidRPr="009F532F">
              <w:rPr>
                <w:rFonts w:ascii="Arial" w:hAnsi="Arial" w:cs="Arial"/>
              </w:rPr>
              <w:t xml:space="preserve"> more intensive </w:t>
            </w:r>
            <w:r w:rsidR="00882876">
              <w:rPr>
                <w:rFonts w:ascii="Arial" w:hAnsi="Arial" w:cs="Arial"/>
              </w:rPr>
              <w:t xml:space="preserve">and earlier </w:t>
            </w:r>
            <w:r w:rsidR="00882876" w:rsidRPr="009F532F">
              <w:rPr>
                <w:rFonts w:ascii="Arial" w:hAnsi="Arial" w:cs="Arial"/>
              </w:rPr>
              <w:t>support from navigators and providers.</w:t>
            </w:r>
          </w:p>
          <w:p w:rsidR="004258F2" w:rsidRDefault="004258F2" w:rsidP="004258F2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“The initiative will gather evidence of how the Whānau Ora approach works as a decentralised early intervention model and how best to increase cross-government engagement in Whānau Ora.”</w:t>
            </w:r>
          </w:p>
          <w:p w:rsidR="004B5A72" w:rsidRPr="002505CE" w:rsidRDefault="004B5A72" w:rsidP="002505CE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2505CE">
              <w:rPr>
                <w:rFonts w:ascii="Arial" w:hAnsi="Arial" w:cs="Arial"/>
              </w:rPr>
              <w:t xml:space="preserve">Minister Jackson said he was very encouraged by the </w:t>
            </w:r>
            <w:r w:rsidR="0055317B">
              <w:rPr>
                <w:rFonts w:ascii="Arial" w:hAnsi="Arial" w:cs="Arial"/>
              </w:rPr>
              <w:t>collaboration across government and with the</w:t>
            </w:r>
            <w:r w:rsidRPr="002505CE">
              <w:rPr>
                <w:rFonts w:ascii="Arial" w:hAnsi="Arial" w:cs="Arial"/>
              </w:rPr>
              <w:t xml:space="preserve"> commissioning agency. </w:t>
            </w:r>
          </w:p>
          <w:p w:rsidR="004B5A72" w:rsidRPr="002505CE" w:rsidRDefault="004B5A72" w:rsidP="004B5A72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2505CE">
              <w:rPr>
                <w:rFonts w:ascii="Arial" w:hAnsi="Arial" w:cs="Arial"/>
              </w:rPr>
              <w:t>“Everyone involved has embraced a whānau centred approach that will provide support services early in a child’s life and ultimately lessen the likelihood of harm to tamariki.</w:t>
            </w:r>
          </w:p>
          <w:p w:rsidR="002505CE" w:rsidRPr="002505CE" w:rsidRDefault="002505CE" w:rsidP="004B5A72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2505CE">
              <w:rPr>
                <w:rFonts w:ascii="Arial" w:hAnsi="Arial" w:cs="Arial"/>
              </w:rPr>
              <w:t>“This fits with ACC’s injury prevention approach and its Māori strategy – we want to reduce the number of incidents of harm and to improve access to services for Māori.”</w:t>
            </w:r>
          </w:p>
          <w:p w:rsidR="002505CE" w:rsidRPr="0055317B" w:rsidRDefault="002505CE" w:rsidP="0055317B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55317B">
              <w:rPr>
                <w:rFonts w:ascii="Arial" w:hAnsi="Arial" w:cs="Arial"/>
              </w:rPr>
              <w:t xml:space="preserve">Minister Martin said the initiative was the most significant </w:t>
            </w:r>
            <w:r w:rsidR="00B905C0">
              <w:rPr>
                <w:rFonts w:ascii="Arial" w:hAnsi="Arial" w:cs="Arial"/>
              </w:rPr>
              <w:t xml:space="preserve">early </w:t>
            </w:r>
            <w:r w:rsidR="004B5A72" w:rsidRPr="0055317B">
              <w:rPr>
                <w:rFonts w:ascii="Arial" w:hAnsi="Arial" w:cs="Arial"/>
              </w:rPr>
              <w:t>intervention programme since the introduction of the Child and Youth Wellbeing Strategy</w:t>
            </w:r>
            <w:r w:rsidRPr="0055317B">
              <w:rPr>
                <w:rFonts w:ascii="Arial" w:hAnsi="Arial" w:cs="Arial"/>
              </w:rPr>
              <w:t xml:space="preserve">. </w:t>
            </w:r>
          </w:p>
          <w:p w:rsidR="002505CE" w:rsidRPr="0055317B" w:rsidRDefault="002505CE" w:rsidP="0055317B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55317B">
              <w:rPr>
                <w:rFonts w:ascii="Arial" w:hAnsi="Arial" w:cs="Arial"/>
              </w:rPr>
              <w:t>“It shows that agencies can get together and that we need multiple solutions if we’re going to reach families in the right way – urban and rural</w:t>
            </w:r>
            <w:r w:rsidR="00573337">
              <w:rPr>
                <w:rFonts w:ascii="Arial" w:hAnsi="Arial" w:cs="Arial"/>
              </w:rPr>
              <w:t xml:space="preserve"> </w:t>
            </w:r>
            <w:r w:rsidRPr="0055317B">
              <w:rPr>
                <w:rFonts w:ascii="Arial" w:hAnsi="Arial" w:cs="Arial"/>
              </w:rPr>
              <w:t>and iwi-led and pan-Maori</w:t>
            </w:r>
            <w:r w:rsidR="0055317B" w:rsidRPr="0055317B">
              <w:rPr>
                <w:rFonts w:ascii="Arial" w:hAnsi="Arial" w:cs="Arial"/>
              </w:rPr>
              <w:t>. What’s important is that the right help is offered and that people will engage with services they need.”</w:t>
            </w:r>
          </w:p>
          <w:p w:rsidR="002505CE" w:rsidRDefault="0055317B" w:rsidP="0055317B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55317B">
              <w:rPr>
                <w:rFonts w:ascii="Arial" w:hAnsi="Arial" w:cs="Arial"/>
              </w:rPr>
              <w:t>Ministers said the prototype will test different approaches and provide further insights into how to further support tamariki who could be at risk</w:t>
            </w:r>
            <w:r w:rsidR="003118BA">
              <w:rPr>
                <w:rFonts w:ascii="Arial" w:hAnsi="Arial" w:cs="Arial"/>
              </w:rPr>
              <w:t>.</w:t>
            </w:r>
          </w:p>
          <w:p w:rsidR="003118BA" w:rsidRPr="003118BA" w:rsidRDefault="003118BA" w:rsidP="0055317B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3118BA">
              <w:rPr>
                <w:rFonts w:ascii="Arial" w:hAnsi="Arial" w:cs="Arial"/>
              </w:rPr>
              <w:t>Two years is a short period in the context of the intergenerational change we want to see – but it’s enough to build the evidence we need to continue expanding this way of working more widely</w:t>
            </w:r>
            <w:r>
              <w:rPr>
                <w:rFonts w:ascii="Arial" w:hAnsi="Arial" w:cs="Arial"/>
              </w:rPr>
              <w:t>.</w:t>
            </w:r>
          </w:p>
          <w:p w:rsidR="009F532F" w:rsidRPr="0055317B" w:rsidRDefault="0055317B" w:rsidP="0055317B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55317B">
              <w:rPr>
                <w:rFonts w:ascii="Arial" w:hAnsi="Arial" w:cs="Arial"/>
              </w:rPr>
              <w:t>“O</w:t>
            </w:r>
            <w:r w:rsidR="009F532F" w:rsidRPr="0055317B">
              <w:rPr>
                <w:rFonts w:ascii="Arial" w:hAnsi="Arial" w:cs="Arial"/>
              </w:rPr>
              <w:t xml:space="preserve">ur tamariki and their whānau </w:t>
            </w:r>
            <w:r w:rsidRPr="0055317B">
              <w:rPr>
                <w:rFonts w:ascii="Arial" w:hAnsi="Arial" w:cs="Arial"/>
              </w:rPr>
              <w:t>will be</w:t>
            </w:r>
            <w:r w:rsidR="009F532F" w:rsidRPr="0055317B">
              <w:rPr>
                <w:rFonts w:ascii="Arial" w:hAnsi="Arial" w:cs="Arial"/>
              </w:rPr>
              <w:t xml:space="preserve"> supported earlier and faster </w:t>
            </w:r>
            <w:r w:rsidR="004B5A72" w:rsidRPr="0055317B">
              <w:rPr>
                <w:rFonts w:ascii="Arial" w:hAnsi="Arial" w:cs="Arial"/>
              </w:rPr>
              <w:t>and the number of children entering state care will continue to reduce.</w:t>
            </w:r>
            <w:r w:rsidRPr="0055317B">
              <w:rPr>
                <w:rFonts w:ascii="Arial" w:hAnsi="Arial" w:cs="Arial"/>
              </w:rPr>
              <w:t>”</w:t>
            </w:r>
          </w:p>
          <w:p w:rsidR="009F532F" w:rsidRDefault="009F532F" w:rsidP="009F532F">
            <w:pPr>
              <w:spacing w:before="360"/>
              <w:ind w:right="516"/>
              <w:jc w:val="both"/>
              <w:rPr>
                <w:rFonts w:ascii="Arial" w:hAnsi="Arial" w:cs="Arial"/>
                <w:b/>
                <w:bCs/>
              </w:rPr>
            </w:pPr>
            <w:r w:rsidRPr="003118BA">
              <w:rPr>
                <w:rFonts w:ascii="Arial" w:hAnsi="Arial" w:cs="Arial"/>
                <w:b/>
                <w:bCs/>
              </w:rPr>
              <w:t>E</w:t>
            </w:r>
            <w:r w:rsidR="0055317B" w:rsidRPr="003118BA">
              <w:rPr>
                <w:rFonts w:ascii="Arial" w:hAnsi="Arial" w:cs="Arial"/>
                <w:b/>
                <w:bCs/>
              </w:rPr>
              <w:t>N</w:t>
            </w:r>
            <w:r w:rsidRPr="003118BA">
              <w:rPr>
                <w:rFonts w:ascii="Arial" w:hAnsi="Arial" w:cs="Arial"/>
                <w:b/>
                <w:bCs/>
              </w:rPr>
              <w:t>DS</w:t>
            </w:r>
          </w:p>
          <w:p w:rsidR="003118BA" w:rsidRDefault="003118BA" w:rsidP="003118B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Contact: </w:t>
            </w:r>
            <w:r>
              <w:rPr>
                <w:rFonts w:ascii="Arial" w:eastAsia="Times New Roman" w:hAnsi="Arial" w:cs="Arial"/>
                <w:bCs/>
              </w:rPr>
              <w:t>Richard Ninness (Minister Martin) – 021 892 536</w:t>
            </w:r>
          </w:p>
          <w:p w:rsidR="003118BA" w:rsidRDefault="003118BA" w:rsidP="003118B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Xxx</w:t>
            </w:r>
          </w:p>
          <w:p w:rsidR="003118BA" w:rsidRPr="00FA3A62" w:rsidRDefault="003118BA" w:rsidP="003118BA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xxx</w:t>
            </w:r>
          </w:p>
          <w:p w:rsidR="009F532F" w:rsidRPr="003118BA" w:rsidRDefault="0055317B" w:rsidP="009F532F">
            <w:pPr>
              <w:spacing w:before="360" w:after="240"/>
              <w:ind w:right="516"/>
              <w:jc w:val="both"/>
              <w:rPr>
                <w:rFonts w:ascii="Arial" w:hAnsi="Arial" w:cs="Arial"/>
                <w:b/>
                <w:bCs/>
              </w:rPr>
            </w:pPr>
            <w:r w:rsidRPr="003118BA">
              <w:rPr>
                <w:rFonts w:ascii="Arial" w:hAnsi="Arial" w:cs="Arial"/>
                <w:b/>
                <w:bCs/>
              </w:rPr>
              <w:t>Notes for Editors</w:t>
            </w:r>
          </w:p>
          <w:p w:rsidR="004258F2" w:rsidRPr="003118BA" w:rsidRDefault="004B5A72" w:rsidP="004258F2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3118BA">
              <w:rPr>
                <w:rFonts w:ascii="Arial" w:hAnsi="Arial" w:cs="Arial"/>
              </w:rPr>
              <w:t>Early work on the prototype began in December 2019</w:t>
            </w:r>
            <w:r w:rsidR="003118BA" w:rsidRPr="003118BA">
              <w:rPr>
                <w:rFonts w:ascii="Arial" w:hAnsi="Arial" w:cs="Arial"/>
              </w:rPr>
              <w:t xml:space="preserve"> and it has been co-</w:t>
            </w:r>
            <w:r w:rsidR="009F532F" w:rsidRPr="003118BA">
              <w:rPr>
                <w:rFonts w:ascii="Arial" w:hAnsi="Arial" w:cs="Arial"/>
              </w:rPr>
              <w:t xml:space="preserve"> designed by the Whānau Ora Commissioning Agency working in partnership with </w:t>
            </w:r>
            <w:r w:rsidR="003118BA" w:rsidRPr="003118BA">
              <w:rPr>
                <w:rFonts w:ascii="Arial" w:hAnsi="Arial" w:cs="Arial"/>
              </w:rPr>
              <w:t xml:space="preserve">Oranga Tamariki, </w:t>
            </w:r>
            <w:r w:rsidR="009F532F" w:rsidRPr="003118BA">
              <w:rPr>
                <w:rFonts w:ascii="Arial" w:hAnsi="Arial" w:cs="Arial"/>
              </w:rPr>
              <w:t xml:space="preserve">Te </w:t>
            </w:r>
            <w:proofErr w:type="spellStart"/>
            <w:r w:rsidR="009F532F" w:rsidRPr="003118BA">
              <w:rPr>
                <w:rFonts w:ascii="Arial" w:hAnsi="Arial" w:cs="Arial"/>
              </w:rPr>
              <w:t>Puni</w:t>
            </w:r>
            <w:proofErr w:type="spellEnd"/>
            <w:r w:rsidR="009F532F" w:rsidRPr="003118BA">
              <w:rPr>
                <w:rFonts w:ascii="Arial" w:hAnsi="Arial" w:cs="Arial"/>
              </w:rPr>
              <w:t xml:space="preserve"> </w:t>
            </w:r>
            <w:proofErr w:type="spellStart"/>
            <w:r w:rsidR="009F532F" w:rsidRPr="003118BA">
              <w:rPr>
                <w:rFonts w:ascii="Arial" w:hAnsi="Arial" w:cs="Arial"/>
              </w:rPr>
              <w:t>Kōkiri</w:t>
            </w:r>
            <w:proofErr w:type="spellEnd"/>
            <w:r w:rsidR="009F532F" w:rsidRPr="003118BA">
              <w:rPr>
                <w:rFonts w:ascii="Arial" w:hAnsi="Arial" w:cs="Arial"/>
              </w:rPr>
              <w:t>, and ACC.</w:t>
            </w:r>
            <w:r w:rsidR="004258F2">
              <w:rPr>
                <w:rFonts w:ascii="Arial" w:hAnsi="Arial" w:cs="Arial"/>
              </w:rPr>
              <w:t xml:space="preserve"> </w:t>
            </w:r>
            <w:r w:rsidR="004258F2" w:rsidRPr="00570216">
              <w:rPr>
                <w:rFonts w:ascii="Arial" w:hAnsi="Arial" w:cs="Arial"/>
              </w:rPr>
              <w:t>Agencies will work with the Whānau Ora Commissioning Agency to finalise the partnership and it is expected to begin early 2021.</w:t>
            </w:r>
          </w:p>
          <w:p w:rsidR="003118BA" w:rsidRPr="003118BA" w:rsidRDefault="003118BA" w:rsidP="003118BA">
            <w:pPr>
              <w:spacing w:after="240"/>
              <w:ind w:right="516"/>
              <w:jc w:val="both"/>
              <w:rPr>
                <w:rFonts w:ascii="Arial" w:hAnsi="Arial" w:cs="Arial"/>
              </w:rPr>
            </w:pPr>
            <w:r w:rsidRPr="003118BA">
              <w:rPr>
                <w:rFonts w:ascii="Arial" w:hAnsi="Arial" w:cs="Arial"/>
              </w:rPr>
              <w:lastRenderedPageBreak/>
              <w:t xml:space="preserve">Te </w:t>
            </w:r>
            <w:proofErr w:type="spellStart"/>
            <w:r w:rsidRPr="003118BA">
              <w:rPr>
                <w:rFonts w:ascii="Arial" w:hAnsi="Arial" w:cs="Arial"/>
              </w:rPr>
              <w:t>Puni</w:t>
            </w:r>
            <w:proofErr w:type="spellEnd"/>
            <w:r w:rsidRPr="003118BA">
              <w:rPr>
                <w:rFonts w:ascii="Arial" w:hAnsi="Arial" w:cs="Arial"/>
              </w:rPr>
              <w:t xml:space="preserve"> </w:t>
            </w:r>
            <w:proofErr w:type="spellStart"/>
            <w:r w:rsidRPr="003118BA">
              <w:rPr>
                <w:rFonts w:ascii="Arial" w:hAnsi="Arial" w:cs="Arial"/>
              </w:rPr>
              <w:t>Kōkiri</w:t>
            </w:r>
            <w:proofErr w:type="spellEnd"/>
            <w:r w:rsidRPr="003118BA">
              <w:rPr>
                <w:rFonts w:ascii="Arial" w:hAnsi="Arial" w:cs="Arial"/>
              </w:rPr>
              <w:t xml:space="preserve"> and Oranga Tamariki are each investing $15.9 million, and</w:t>
            </w:r>
            <w:r w:rsidR="004258F2">
              <w:rPr>
                <w:rFonts w:ascii="Arial" w:hAnsi="Arial" w:cs="Arial"/>
              </w:rPr>
              <w:t xml:space="preserve"> ACC is investing $10.4 million over two years.</w:t>
            </w:r>
            <w:r w:rsidRPr="003118BA">
              <w:rPr>
                <w:rFonts w:ascii="Arial" w:hAnsi="Arial" w:cs="Arial"/>
              </w:rPr>
              <w:t xml:space="preserve"> </w:t>
            </w:r>
          </w:p>
          <w:p w:rsidR="00882876" w:rsidRDefault="00882876" w:rsidP="009F532F">
            <w:pPr>
              <w:jc w:val="both"/>
              <w:rPr>
                <w:rFonts w:cs="Arial"/>
              </w:rPr>
            </w:pPr>
          </w:p>
          <w:p w:rsidR="009C5F46" w:rsidRDefault="009C5F46" w:rsidP="009C5F46">
            <w:pPr>
              <w:rPr>
                <w:rFonts w:ascii="Arial" w:hAnsi="Arial" w:cs="Arial"/>
              </w:rPr>
            </w:pPr>
          </w:p>
          <w:p w:rsidR="009C5F46" w:rsidRPr="00CE35FF" w:rsidRDefault="009C5F46" w:rsidP="009C5F46">
            <w:pPr>
              <w:rPr>
                <w:rFonts w:ascii="Arial" w:hAnsi="Arial" w:cs="Arial"/>
                <w:b/>
              </w:rPr>
            </w:pPr>
          </w:p>
          <w:p w:rsidR="009C5F46" w:rsidRPr="00CE35FF" w:rsidRDefault="009C5F46" w:rsidP="009C5F46">
            <w:pPr>
              <w:rPr>
                <w:rFonts w:ascii="Arial" w:hAnsi="Arial" w:cs="Arial"/>
              </w:rPr>
            </w:pPr>
          </w:p>
          <w:p w:rsidR="008C0AF4" w:rsidRDefault="008C0AF4" w:rsidP="008C0AF4">
            <w:pPr>
              <w:rPr>
                <w:rFonts w:ascii="Arial" w:hAnsi="Arial" w:cs="Arial"/>
                <w:b/>
              </w:rPr>
            </w:pPr>
          </w:p>
          <w:p w:rsidR="008E66FA" w:rsidRPr="00FA5645" w:rsidRDefault="008E66FA" w:rsidP="00992C4A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2B1BF3" w:rsidRDefault="002B1BF3" w:rsidP="001A7543">
      <w:pPr>
        <w:pStyle w:val="NormalWeb"/>
        <w:shd w:val="clear" w:color="auto" w:fill="FFFFFF"/>
        <w:spacing w:before="240" w:after="0"/>
        <w:jc w:val="both"/>
      </w:pPr>
    </w:p>
    <w:p w:rsidR="00A775EC" w:rsidRDefault="00A775EC">
      <w:pPr>
        <w:pStyle w:val="NormalWeb"/>
        <w:shd w:val="clear" w:color="auto" w:fill="FFFFFF"/>
        <w:spacing w:before="240" w:after="0"/>
        <w:jc w:val="both"/>
      </w:pPr>
    </w:p>
    <w:sectPr w:rsidR="00A775EC" w:rsidSect="002D6D1F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FDE"/>
    <w:multiLevelType w:val="hybridMultilevel"/>
    <w:tmpl w:val="30D4952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20382"/>
    <w:multiLevelType w:val="hybridMultilevel"/>
    <w:tmpl w:val="80F01D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EA7"/>
    <w:multiLevelType w:val="hybridMultilevel"/>
    <w:tmpl w:val="0BD0AE4A"/>
    <w:lvl w:ilvl="0" w:tplc="A21C7A4C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D04CD"/>
    <w:multiLevelType w:val="hybridMultilevel"/>
    <w:tmpl w:val="AB660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061A"/>
    <w:multiLevelType w:val="hybridMultilevel"/>
    <w:tmpl w:val="A46416FA"/>
    <w:lvl w:ilvl="0" w:tplc="1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01AB9"/>
    <w:multiLevelType w:val="hybridMultilevel"/>
    <w:tmpl w:val="41081D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F5832"/>
    <w:multiLevelType w:val="multilevel"/>
    <w:tmpl w:val="021A0370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 w:themeColor="text1"/>
        <w:sz w:val="26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3F38089E"/>
    <w:multiLevelType w:val="hybridMultilevel"/>
    <w:tmpl w:val="62526F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86EA4"/>
    <w:multiLevelType w:val="hybridMultilevel"/>
    <w:tmpl w:val="BAFE19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365C"/>
    <w:multiLevelType w:val="hybridMultilevel"/>
    <w:tmpl w:val="6E72AA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615ED"/>
    <w:multiLevelType w:val="hybridMultilevel"/>
    <w:tmpl w:val="DCE49DCA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2"/>
      </w:r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20E1B"/>
    <w:multiLevelType w:val="hybridMultilevel"/>
    <w:tmpl w:val="4F68ACB8"/>
    <w:lvl w:ilvl="0" w:tplc="A21C7A4C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78BE"/>
    <w:multiLevelType w:val="hybridMultilevel"/>
    <w:tmpl w:val="A8BCC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76357"/>
    <w:multiLevelType w:val="hybridMultilevel"/>
    <w:tmpl w:val="B3A697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D0AD3"/>
    <w:multiLevelType w:val="hybridMultilevel"/>
    <w:tmpl w:val="A77855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72F"/>
    <w:multiLevelType w:val="hybridMultilevel"/>
    <w:tmpl w:val="ED046EDA"/>
    <w:lvl w:ilvl="0" w:tplc="14090001">
      <w:start w:val="1"/>
      <w:numFmt w:val="bullet"/>
      <w:lvlText w:val=""/>
      <w:lvlJc w:val="left"/>
      <w:pPr>
        <w:ind w:left="897" w:hanging="492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432785A"/>
    <w:multiLevelType w:val="hybridMultilevel"/>
    <w:tmpl w:val="ED8C9C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2A0319"/>
    <w:multiLevelType w:val="hybridMultilevel"/>
    <w:tmpl w:val="18B05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17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5"/>
  </w:num>
  <w:num w:numId="13">
    <w:abstractNumId w:val="15"/>
  </w:num>
  <w:num w:numId="14">
    <w:abstractNumId w:val="16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A6"/>
    <w:rsid w:val="000006CC"/>
    <w:rsid w:val="00012F2B"/>
    <w:rsid w:val="000220D0"/>
    <w:rsid w:val="000478CD"/>
    <w:rsid w:val="00051DD3"/>
    <w:rsid w:val="00053B33"/>
    <w:rsid w:val="00057E7A"/>
    <w:rsid w:val="000620FF"/>
    <w:rsid w:val="000726D5"/>
    <w:rsid w:val="00077967"/>
    <w:rsid w:val="00087AC3"/>
    <w:rsid w:val="000A5090"/>
    <w:rsid w:val="000A6AD0"/>
    <w:rsid w:val="000B5082"/>
    <w:rsid w:val="000B64F0"/>
    <w:rsid w:val="000C1BA3"/>
    <w:rsid w:val="000D38B5"/>
    <w:rsid w:val="000D50EE"/>
    <w:rsid w:val="000D601E"/>
    <w:rsid w:val="000F3D08"/>
    <w:rsid w:val="000F5A46"/>
    <w:rsid w:val="000F7692"/>
    <w:rsid w:val="00101BFA"/>
    <w:rsid w:val="00102B86"/>
    <w:rsid w:val="0012470D"/>
    <w:rsid w:val="00130FA8"/>
    <w:rsid w:val="00137563"/>
    <w:rsid w:val="00152FE4"/>
    <w:rsid w:val="00156593"/>
    <w:rsid w:val="00160DB6"/>
    <w:rsid w:val="0016396F"/>
    <w:rsid w:val="00165C34"/>
    <w:rsid w:val="00165C45"/>
    <w:rsid w:val="00175CF4"/>
    <w:rsid w:val="00175F16"/>
    <w:rsid w:val="00176866"/>
    <w:rsid w:val="00181F64"/>
    <w:rsid w:val="001979F6"/>
    <w:rsid w:val="001A54C0"/>
    <w:rsid w:val="001A7543"/>
    <w:rsid w:val="001B14BC"/>
    <w:rsid w:val="001D125E"/>
    <w:rsid w:val="00217D73"/>
    <w:rsid w:val="00222721"/>
    <w:rsid w:val="0023276B"/>
    <w:rsid w:val="00234724"/>
    <w:rsid w:val="002505CE"/>
    <w:rsid w:val="0026720C"/>
    <w:rsid w:val="00274498"/>
    <w:rsid w:val="00290E2A"/>
    <w:rsid w:val="002A16A6"/>
    <w:rsid w:val="002A3B9C"/>
    <w:rsid w:val="002A5A24"/>
    <w:rsid w:val="002B1BF3"/>
    <w:rsid w:val="002B20D1"/>
    <w:rsid w:val="002B4307"/>
    <w:rsid w:val="002D55EB"/>
    <w:rsid w:val="002D6D1F"/>
    <w:rsid w:val="002F178B"/>
    <w:rsid w:val="003049FF"/>
    <w:rsid w:val="003118BA"/>
    <w:rsid w:val="00315CF2"/>
    <w:rsid w:val="00320507"/>
    <w:rsid w:val="0032572F"/>
    <w:rsid w:val="003606B5"/>
    <w:rsid w:val="00363A08"/>
    <w:rsid w:val="00366E1E"/>
    <w:rsid w:val="0039467A"/>
    <w:rsid w:val="003A3FDC"/>
    <w:rsid w:val="003B1E6D"/>
    <w:rsid w:val="003B484B"/>
    <w:rsid w:val="003B4B46"/>
    <w:rsid w:val="003C0697"/>
    <w:rsid w:val="003E352E"/>
    <w:rsid w:val="003E4B3F"/>
    <w:rsid w:val="003F4C59"/>
    <w:rsid w:val="003F596E"/>
    <w:rsid w:val="0041515B"/>
    <w:rsid w:val="004257E7"/>
    <w:rsid w:val="004258F2"/>
    <w:rsid w:val="004420EF"/>
    <w:rsid w:val="00450612"/>
    <w:rsid w:val="004630EB"/>
    <w:rsid w:val="004770CF"/>
    <w:rsid w:val="004A3E4C"/>
    <w:rsid w:val="004B4DAE"/>
    <w:rsid w:val="004B5A72"/>
    <w:rsid w:val="004C2E0E"/>
    <w:rsid w:val="004D15C2"/>
    <w:rsid w:val="004D5DFA"/>
    <w:rsid w:val="004E681D"/>
    <w:rsid w:val="004F1ECF"/>
    <w:rsid w:val="00513623"/>
    <w:rsid w:val="00521832"/>
    <w:rsid w:val="00524110"/>
    <w:rsid w:val="0054351E"/>
    <w:rsid w:val="00543747"/>
    <w:rsid w:val="00546E4B"/>
    <w:rsid w:val="005516B9"/>
    <w:rsid w:val="0055317B"/>
    <w:rsid w:val="005578C8"/>
    <w:rsid w:val="005578C9"/>
    <w:rsid w:val="0057048B"/>
    <w:rsid w:val="00571F91"/>
    <w:rsid w:val="005724AD"/>
    <w:rsid w:val="00572F1F"/>
    <w:rsid w:val="00573337"/>
    <w:rsid w:val="00573ED4"/>
    <w:rsid w:val="00584F2F"/>
    <w:rsid w:val="00592725"/>
    <w:rsid w:val="00592F78"/>
    <w:rsid w:val="005A1012"/>
    <w:rsid w:val="005A1252"/>
    <w:rsid w:val="005A12E0"/>
    <w:rsid w:val="005A17C6"/>
    <w:rsid w:val="005B4DF3"/>
    <w:rsid w:val="005C6061"/>
    <w:rsid w:val="005F23D7"/>
    <w:rsid w:val="005F7524"/>
    <w:rsid w:val="00607674"/>
    <w:rsid w:val="00612BA3"/>
    <w:rsid w:val="006130DF"/>
    <w:rsid w:val="0061387B"/>
    <w:rsid w:val="00626438"/>
    <w:rsid w:val="00634038"/>
    <w:rsid w:val="006530A1"/>
    <w:rsid w:val="00655A9B"/>
    <w:rsid w:val="0066027B"/>
    <w:rsid w:val="00662B0F"/>
    <w:rsid w:val="00685B7E"/>
    <w:rsid w:val="006A3001"/>
    <w:rsid w:val="006A63A6"/>
    <w:rsid w:val="006B27D9"/>
    <w:rsid w:val="006B33B0"/>
    <w:rsid w:val="006B360D"/>
    <w:rsid w:val="006C1B77"/>
    <w:rsid w:val="006C36AF"/>
    <w:rsid w:val="006D0F4E"/>
    <w:rsid w:val="006D4BFF"/>
    <w:rsid w:val="006E04CB"/>
    <w:rsid w:val="006E1826"/>
    <w:rsid w:val="006F0161"/>
    <w:rsid w:val="00701CC4"/>
    <w:rsid w:val="00703EBE"/>
    <w:rsid w:val="007306E8"/>
    <w:rsid w:val="00741C62"/>
    <w:rsid w:val="00742414"/>
    <w:rsid w:val="00747597"/>
    <w:rsid w:val="00754224"/>
    <w:rsid w:val="007677FF"/>
    <w:rsid w:val="00771235"/>
    <w:rsid w:val="007876D6"/>
    <w:rsid w:val="00792CE9"/>
    <w:rsid w:val="007A0F01"/>
    <w:rsid w:val="007B2E81"/>
    <w:rsid w:val="007C462D"/>
    <w:rsid w:val="007C5BC1"/>
    <w:rsid w:val="007D051A"/>
    <w:rsid w:val="007E0FEC"/>
    <w:rsid w:val="007F104D"/>
    <w:rsid w:val="00837425"/>
    <w:rsid w:val="008562CD"/>
    <w:rsid w:val="00860F85"/>
    <w:rsid w:val="00877199"/>
    <w:rsid w:val="00880E0C"/>
    <w:rsid w:val="00882876"/>
    <w:rsid w:val="00884692"/>
    <w:rsid w:val="00886B57"/>
    <w:rsid w:val="00896786"/>
    <w:rsid w:val="008A186E"/>
    <w:rsid w:val="008B56C7"/>
    <w:rsid w:val="008C0AF4"/>
    <w:rsid w:val="008D260F"/>
    <w:rsid w:val="008D4B89"/>
    <w:rsid w:val="008E66FA"/>
    <w:rsid w:val="009013E4"/>
    <w:rsid w:val="009149D2"/>
    <w:rsid w:val="00924965"/>
    <w:rsid w:val="00945497"/>
    <w:rsid w:val="00947952"/>
    <w:rsid w:val="00954C9E"/>
    <w:rsid w:val="00960F45"/>
    <w:rsid w:val="00963F93"/>
    <w:rsid w:val="0098321F"/>
    <w:rsid w:val="0098326F"/>
    <w:rsid w:val="00987BD8"/>
    <w:rsid w:val="00992C4A"/>
    <w:rsid w:val="009A76A9"/>
    <w:rsid w:val="009B68B7"/>
    <w:rsid w:val="009C00F0"/>
    <w:rsid w:val="009C5F46"/>
    <w:rsid w:val="009D59A3"/>
    <w:rsid w:val="009E2869"/>
    <w:rsid w:val="009E6E29"/>
    <w:rsid w:val="009F1884"/>
    <w:rsid w:val="009F532F"/>
    <w:rsid w:val="009F7DB0"/>
    <w:rsid w:val="00A001D4"/>
    <w:rsid w:val="00A01CF2"/>
    <w:rsid w:val="00A03A0B"/>
    <w:rsid w:val="00A117E8"/>
    <w:rsid w:val="00A169A9"/>
    <w:rsid w:val="00A1713F"/>
    <w:rsid w:val="00A348AE"/>
    <w:rsid w:val="00A35D2F"/>
    <w:rsid w:val="00A50A08"/>
    <w:rsid w:val="00A71FEB"/>
    <w:rsid w:val="00A775EC"/>
    <w:rsid w:val="00A85F70"/>
    <w:rsid w:val="00A875FB"/>
    <w:rsid w:val="00A90230"/>
    <w:rsid w:val="00A933D3"/>
    <w:rsid w:val="00AA12B4"/>
    <w:rsid w:val="00AA7B6F"/>
    <w:rsid w:val="00AC6185"/>
    <w:rsid w:val="00AE208D"/>
    <w:rsid w:val="00AE45FF"/>
    <w:rsid w:val="00B00D95"/>
    <w:rsid w:val="00B064AC"/>
    <w:rsid w:val="00B06E33"/>
    <w:rsid w:val="00B11997"/>
    <w:rsid w:val="00B16F48"/>
    <w:rsid w:val="00B22F18"/>
    <w:rsid w:val="00B27F08"/>
    <w:rsid w:val="00B3330C"/>
    <w:rsid w:val="00B33387"/>
    <w:rsid w:val="00B5257D"/>
    <w:rsid w:val="00B52EA8"/>
    <w:rsid w:val="00B530CE"/>
    <w:rsid w:val="00B63F15"/>
    <w:rsid w:val="00B77E1C"/>
    <w:rsid w:val="00B85C34"/>
    <w:rsid w:val="00B87538"/>
    <w:rsid w:val="00B905C0"/>
    <w:rsid w:val="00BA44AA"/>
    <w:rsid w:val="00BA4C3C"/>
    <w:rsid w:val="00BB07E4"/>
    <w:rsid w:val="00BB0940"/>
    <w:rsid w:val="00BC01BD"/>
    <w:rsid w:val="00BC1C72"/>
    <w:rsid w:val="00BC3DCE"/>
    <w:rsid w:val="00BC6C68"/>
    <w:rsid w:val="00BD4DBA"/>
    <w:rsid w:val="00BF0BA8"/>
    <w:rsid w:val="00C048E8"/>
    <w:rsid w:val="00C1019B"/>
    <w:rsid w:val="00C10B00"/>
    <w:rsid w:val="00C10C58"/>
    <w:rsid w:val="00C347F4"/>
    <w:rsid w:val="00C500FD"/>
    <w:rsid w:val="00C63329"/>
    <w:rsid w:val="00C80884"/>
    <w:rsid w:val="00C904FD"/>
    <w:rsid w:val="00CA698A"/>
    <w:rsid w:val="00CB3891"/>
    <w:rsid w:val="00CC04D8"/>
    <w:rsid w:val="00CD425F"/>
    <w:rsid w:val="00CE150B"/>
    <w:rsid w:val="00CE4464"/>
    <w:rsid w:val="00CF30CE"/>
    <w:rsid w:val="00CF51E1"/>
    <w:rsid w:val="00CF5D12"/>
    <w:rsid w:val="00CF7647"/>
    <w:rsid w:val="00D1512E"/>
    <w:rsid w:val="00D15B61"/>
    <w:rsid w:val="00D2521A"/>
    <w:rsid w:val="00D36A27"/>
    <w:rsid w:val="00D474B8"/>
    <w:rsid w:val="00D56A17"/>
    <w:rsid w:val="00D6341E"/>
    <w:rsid w:val="00D64D91"/>
    <w:rsid w:val="00D8027F"/>
    <w:rsid w:val="00D80979"/>
    <w:rsid w:val="00D83039"/>
    <w:rsid w:val="00D85DCA"/>
    <w:rsid w:val="00D86F98"/>
    <w:rsid w:val="00D97C3A"/>
    <w:rsid w:val="00DC65C0"/>
    <w:rsid w:val="00DF30AC"/>
    <w:rsid w:val="00E01E2F"/>
    <w:rsid w:val="00E06978"/>
    <w:rsid w:val="00E114F5"/>
    <w:rsid w:val="00E12061"/>
    <w:rsid w:val="00E17AC4"/>
    <w:rsid w:val="00E34782"/>
    <w:rsid w:val="00E36D53"/>
    <w:rsid w:val="00E375AA"/>
    <w:rsid w:val="00E54DF1"/>
    <w:rsid w:val="00E6062E"/>
    <w:rsid w:val="00E82AC5"/>
    <w:rsid w:val="00E83EAA"/>
    <w:rsid w:val="00E9215C"/>
    <w:rsid w:val="00EA5C48"/>
    <w:rsid w:val="00EC5D81"/>
    <w:rsid w:val="00ED066E"/>
    <w:rsid w:val="00ED0EAA"/>
    <w:rsid w:val="00EF6523"/>
    <w:rsid w:val="00F010BA"/>
    <w:rsid w:val="00F023B9"/>
    <w:rsid w:val="00F06910"/>
    <w:rsid w:val="00F07BB7"/>
    <w:rsid w:val="00F13246"/>
    <w:rsid w:val="00F1436C"/>
    <w:rsid w:val="00F16102"/>
    <w:rsid w:val="00F23266"/>
    <w:rsid w:val="00F24594"/>
    <w:rsid w:val="00F33660"/>
    <w:rsid w:val="00F355C4"/>
    <w:rsid w:val="00F6546D"/>
    <w:rsid w:val="00F8655E"/>
    <w:rsid w:val="00FA3A62"/>
    <w:rsid w:val="00FA4B19"/>
    <w:rsid w:val="00FA5645"/>
    <w:rsid w:val="00FD391E"/>
    <w:rsid w:val="00FE4189"/>
    <w:rsid w:val="00FE5C31"/>
    <w:rsid w:val="00FE6371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9F1E-8703-47C3-BDF8-65424116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A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nhideWhenUsed/>
    <w:qFormat/>
    <w:rsid w:val="00A85F70"/>
    <w:pPr>
      <w:shd w:val="clear" w:color="auto" w:fill="FFFFFF"/>
      <w:spacing w:before="100" w:beforeAutospacing="1" w:after="100" w:afterAutospacing="1"/>
      <w:outlineLvl w:val="2"/>
    </w:pPr>
    <w:rPr>
      <w:rFonts w:ascii="Arial" w:eastAsia="Times New Roman" w:hAnsi="Arial" w:cs="Arial"/>
      <w:b/>
      <w:color w:val="000000"/>
      <w:sz w:val="36"/>
      <w:szCs w:val="36"/>
      <w:lang w:val="en-GB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Rec para,List Paragraph1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274498"/>
    <w:pPr>
      <w:ind w:left="720"/>
      <w:contextualSpacing/>
    </w:pPr>
  </w:style>
  <w:style w:type="character" w:styleId="Hyperlink">
    <w:name w:val="Hyperlink"/>
    <w:rsid w:val="00D151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A85F70"/>
    <w:rPr>
      <w:rFonts w:ascii="Arial" w:eastAsia="Times New Roman" w:hAnsi="Arial" w:cs="Arial"/>
      <w:b/>
      <w:color w:val="000000"/>
      <w:sz w:val="36"/>
      <w:szCs w:val="36"/>
      <w:shd w:val="clear" w:color="auto" w:fill="FFFFFF"/>
      <w:lang w:val="en-GB" w:eastAsia="en-NZ"/>
    </w:rPr>
  </w:style>
  <w:style w:type="paragraph" w:customStyle="1" w:styleId="Answer">
    <w:name w:val="Answer"/>
    <w:basedOn w:val="ListParagraph"/>
    <w:link w:val="AnswerChar"/>
    <w:qFormat/>
    <w:rsid w:val="00FE4189"/>
    <w:pPr>
      <w:spacing w:before="180" w:after="180"/>
      <w:ind w:left="85"/>
      <w:contextualSpacing w:val="0"/>
    </w:pPr>
    <w:rPr>
      <w:rFonts w:ascii="Franklin Gothic Book" w:hAnsi="Franklin Gothic Book" w:cstheme="minorHAnsi"/>
      <w:sz w:val="24"/>
      <w:szCs w:val="24"/>
    </w:rPr>
  </w:style>
  <w:style w:type="character" w:customStyle="1" w:styleId="AnswerChar">
    <w:name w:val="Answer Char"/>
    <w:basedOn w:val="DefaultParagraphFont"/>
    <w:link w:val="Answer"/>
    <w:rsid w:val="00FE4189"/>
    <w:rPr>
      <w:rFonts w:ascii="Franklin Gothic Book" w:hAnsi="Franklin Gothic Book" w:cstheme="minorHAnsi"/>
      <w:sz w:val="24"/>
      <w:szCs w:val="24"/>
    </w:rPr>
  </w:style>
  <w:style w:type="paragraph" w:customStyle="1" w:styleId="Headingappendix">
    <w:name w:val="Heading appendix"/>
    <w:basedOn w:val="Heading1"/>
    <w:next w:val="Normal"/>
    <w:rsid w:val="0012470D"/>
    <w:pPr>
      <w:keepLines w:val="0"/>
      <w:pageBreakBefore/>
      <w:numPr>
        <w:numId w:val="4"/>
      </w:numPr>
      <w:tabs>
        <w:tab w:val="num" w:pos="360"/>
        <w:tab w:val="left" w:pos="2268"/>
      </w:tabs>
      <w:spacing w:before="0" w:after="120"/>
      <w:contextualSpacing/>
      <w:outlineLvl w:val="7"/>
    </w:pPr>
    <w:rPr>
      <w:rFonts w:ascii="Calibri" w:eastAsiaTheme="minorHAnsi" w:hAnsi="Calibri" w:cs="Arial"/>
      <w:b/>
      <w:bCs/>
      <w:color w:val="000000" w:themeColor="text1"/>
      <w:kern w:val="32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24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3A3FDC"/>
    <w:pPr>
      <w:spacing w:before="120" w:after="24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4724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s Char,Rec para Char,List Paragraph1 Char,Recommendation Char,List Paragraph11 Char,Dot pt Char,F5 List Paragraph Char,No Spacing1 Char,List Paragraph Char Char Char Char,Indicator Text Char,Numbered Para 1 Char,Bullet 1 Char"/>
    <w:basedOn w:val="DefaultParagraphFont"/>
    <w:link w:val="ListParagraph"/>
    <w:uiPriority w:val="34"/>
    <w:qFormat/>
    <w:locked/>
    <w:rsid w:val="001A54C0"/>
    <w:rPr>
      <w:rFonts w:ascii="Calibri" w:hAnsi="Calibri" w:cs="Calibri"/>
    </w:rPr>
  </w:style>
  <w:style w:type="paragraph" w:customStyle="1" w:styleId="Space">
    <w:name w:val="Space"/>
    <w:basedOn w:val="Normal"/>
    <w:rsid w:val="002B1BF3"/>
    <w:pPr>
      <w:spacing w:line="320" w:lineRule="atLeast"/>
    </w:pPr>
    <w:rPr>
      <w:rFonts w:ascii="Times New Roman" w:eastAsia="Times New Roman" w:hAnsi="Times New Roman" w:cs="Times New Roman"/>
      <w:sz w:val="24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178E.2C591E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Blackler</dc:creator>
  <cp:keywords/>
  <dc:description/>
  <cp:lastModifiedBy>Richard Ninness</cp:lastModifiedBy>
  <cp:revision>2</cp:revision>
  <cp:lastPrinted>2020-09-21T00:34:00Z</cp:lastPrinted>
  <dcterms:created xsi:type="dcterms:W3CDTF">2020-09-24T04:09:00Z</dcterms:created>
  <dcterms:modified xsi:type="dcterms:W3CDTF">2020-09-24T04:09:00Z</dcterms:modified>
</cp:coreProperties>
</file>